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548"/>
        <w:gridCol w:w="2275"/>
      </w:tblGrid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Регион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 НДС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НДС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Балхаш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17,6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19,71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Сатпаев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18,83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21,09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Жана-арка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20,24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Улытау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Актогайский</w:t>
            </w:r>
            <w:proofErr w:type="spellEnd"/>
            <w:r w:rsidRPr="00702EDC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район, г. Приозерск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17,4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19,49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Жайрем</w:t>
            </w:r>
            <w:proofErr w:type="spellEnd"/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Каражал 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Топар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12,05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13,5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п.Саяк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17,6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19,71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п.Каракум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22,12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Шетск</w:t>
            </w:r>
            <w:proofErr w:type="spellEnd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потребителив</w:t>
            </w:r>
            <w:proofErr w:type="spellEnd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сетях </w:t>
            </w:r>
            <w:proofErr w:type="spellStart"/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Шетэнерго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12,58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14,09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.Агадырь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13,05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 w:hint="eastAsia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Сарышаган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</w:tr>
      <w:tr w:rsidR="00702EDC" w:rsidRPr="00702EDC" w:rsidTr="00702EDC"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 w:hint="eastAsia"/>
                <w:color w:val="000000"/>
                <w:sz w:val="24"/>
                <w:szCs w:val="24"/>
                <w:lang w:eastAsia="ru-RU"/>
              </w:rPr>
              <w:t>Жамбыльская</w:t>
            </w:r>
            <w:proofErr w:type="spellEnd"/>
            <w:r>
              <w:rPr>
                <w:rFonts w:ascii="Open Sans" w:eastAsia="Times New Roman" w:hAnsi="Open Sans" w:cs="Times New Roman" w:hint="eastAsia"/>
                <w:color w:val="000000"/>
                <w:sz w:val="24"/>
                <w:szCs w:val="24"/>
                <w:lang w:eastAsia="ru-RU"/>
              </w:rPr>
              <w:t xml:space="preserve"> область </w:t>
            </w:r>
            <w:proofErr w:type="spellStart"/>
            <w:r>
              <w:rPr>
                <w:rFonts w:ascii="Open Sans" w:eastAsia="Times New Roman" w:hAnsi="Open Sans" w:cs="Times New Roman" w:hint="eastAsia"/>
                <w:color w:val="000000"/>
                <w:sz w:val="24"/>
                <w:szCs w:val="24"/>
                <w:lang w:eastAsia="ru-RU"/>
              </w:rPr>
              <w:t>п.Мынарал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19,94</w:t>
            </w:r>
          </w:p>
        </w:tc>
      </w:tr>
    </w:tbl>
    <w:p w:rsidR="00552765" w:rsidRDefault="00702EDC"/>
    <w:p w:rsidR="00702EDC" w:rsidRPr="00702EDC" w:rsidRDefault="00702EDC" w:rsidP="00702E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02E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702E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Дифференцированные  тарифы</w:t>
      </w:r>
      <w:proofErr w:type="gramEnd"/>
      <w:r w:rsidRPr="00702E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на электрическую энергию в зависимости от объемов ее потребления физическими лицами:</w:t>
      </w:r>
    </w:p>
    <w:p w:rsidR="00702EDC" w:rsidRPr="00702EDC" w:rsidRDefault="00702EDC" w:rsidP="00702EDC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02ED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Трехуровневые тарифы для потребителей, использующих электрические плиты</w:t>
      </w:r>
    </w:p>
    <w:tbl>
      <w:tblPr>
        <w:tblW w:w="104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1273"/>
        <w:gridCol w:w="1139"/>
        <w:gridCol w:w="1273"/>
        <w:gridCol w:w="1139"/>
        <w:gridCol w:w="1273"/>
        <w:gridCol w:w="866"/>
      </w:tblGrid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Цены на электроснабжение за 1 кВт*ч, тенге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Обслуживаемая территория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Тарифы первого уровня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Тарифы второго уровня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  Тарифы третьего уровня 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до 100 (120*) кВт*ч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от 101 (121*) до 180 кВт*ч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       свыше 180 кВт*ч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 НДС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Актогайский</w:t>
            </w:r>
            <w:proofErr w:type="spellEnd"/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район, Приозерск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15,54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17,40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20,88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23,39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26,10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29,23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г. Балхаш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16,36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18,32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21,12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23,65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26,40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29,57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Жанааркинский</w:t>
            </w:r>
            <w:proofErr w:type="spellEnd"/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21,68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24,28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27,11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30,36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г.Жезказган</w:t>
            </w:r>
            <w:proofErr w:type="spellEnd"/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Сатпаев</w:t>
            </w:r>
            <w:proofErr w:type="spellEnd"/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18,94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22,60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25,31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31,64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lastRenderedPageBreak/>
              <w:t xml:space="preserve">г. Каражал, п. </w:t>
            </w:r>
            <w:proofErr w:type="spellStart"/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Жайрем</w:t>
            </w:r>
            <w:proofErr w:type="spellEnd"/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13,13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24,25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Топар</w:t>
            </w:r>
            <w:proofErr w:type="spellEnd"/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10,47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11,73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14,46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16,20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18,08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20,25</w:t>
            </w:r>
          </w:p>
        </w:tc>
      </w:tr>
      <w:tr w:rsidR="00702EDC" w:rsidRPr="00702EDC" w:rsidTr="00702EDC">
        <w:trPr>
          <w:jc w:val="center"/>
        </w:trPr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Улытауский</w:t>
            </w:r>
            <w:proofErr w:type="spellEnd"/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15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20,08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22,49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EDC" w:rsidRPr="00702EDC" w:rsidRDefault="00702EDC" w:rsidP="00702EDC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702EDC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28,11</w:t>
            </w:r>
          </w:p>
        </w:tc>
        <w:bookmarkStart w:id="0" w:name="_GoBack"/>
        <w:bookmarkEnd w:id="0"/>
      </w:tr>
    </w:tbl>
    <w:p w:rsidR="00702EDC" w:rsidRPr="00702EDC" w:rsidRDefault="00702EDC" w:rsidP="00702EDC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02E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 </w:t>
      </w:r>
    </w:p>
    <w:p w:rsidR="00702EDC" w:rsidRPr="00702EDC" w:rsidRDefault="00702EDC" w:rsidP="00702E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02ED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     Нормы потребления, установленные для проживающих пенсионеров по возрасту, инвалидов, участников Великой Отечественной войны и приравненных к ним лицам, использующих электрические плиты</w:t>
      </w:r>
    </w:p>
    <w:p w:rsidR="00702EDC" w:rsidRPr="00702EDC" w:rsidRDefault="00702EDC" w:rsidP="00702EDC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02EDC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702EDC" w:rsidRDefault="00702EDC"/>
    <w:sectPr w:rsidR="0070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0A"/>
    <w:rsid w:val="0069290A"/>
    <w:rsid w:val="00702EDC"/>
    <w:rsid w:val="0097229F"/>
    <w:rsid w:val="00A50B8C"/>
    <w:rsid w:val="00B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60BA"/>
  <w15:chartTrackingRefBased/>
  <w15:docId w15:val="{E91CE980-2761-41CC-BE45-0D46F92E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DE"/>
  </w:style>
  <w:style w:type="paragraph" w:styleId="1">
    <w:name w:val="heading 1"/>
    <w:basedOn w:val="a"/>
    <w:link w:val="10"/>
    <w:uiPriority w:val="9"/>
    <w:qFormat/>
    <w:rsid w:val="00B37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EDC"/>
    <w:rPr>
      <w:b/>
      <w:bCs/>
    </w:rPr>
  </w:style>
  <w:style w:type="character" w:styleId="a5">
    <w:name w:val="Emphasis"/>
    <w:basedOn w:val="a0"/>
    <w:uiPriority w:val="20"/>
    <w:qFormat/>
    <w:rsid w:val="00702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2025-04-02T05:41:00Z</dcterms:created>
  <dcterms:modified xsi:type="dcterms:W3CDTF">2025-04-02T05:47:00Z</dcterms:modified>
</cp:coreProperties>
</file>